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8"/>
          <w:szCs w:val="28"/>
          <w:rtl w:val="0"/>
        </w:rPr>
        <w:t xml:space="preserve">Declaratieproces GZSP</w:t>
      </w:r>
      <w:r w:rsidDel="00000000" w:rsidR="00000000" w:rsidRPr="00000000">
        <w:rPr>
          <w:rFonts w:ascii="Proxima Nova" w:cs="Proxima Nova" w:eastAsia="Proxima Nova" w:hAnsi="Proxima Nova"/>
          <w:b w:val="1"/>
          <w:sz w:val="22"/>
          <w:szCs w:val="22"/>
          <w:rtl w:val="0"/>
        </w:rPr>
        <w:t xml:space="preserve"> </w:t>
      </w:r>
      <w:r w:rsidDel="00000000" w:rsidR="00000000" w:rsidRPr="00000000">
        <w:rPr>
          <w:rFonts w:ascii="Proxima Nova" w:cs="Proxima Nova" w:eastAsia="Proxima Nova" w:hAnsi="Proxima Nova"/>
          <w:sz w:val="22"/>
          <w:szCs w:val="22"/>
          <w:rtl w:val="0"/>
        </w:rPr>
        <w:t xml:space="preserve">04-2023</w:t>
        <w:br w:type="textWrapp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1"/>
          <w:sz w:val="22"/>
          <w:szCs w:val="22"/>
        </w:rPr>
      </w:pPr>
      <w:r w:rsidDel="00000000" w:rsidR="00000000" w:rsidRPr="00000000">
        <w:rPr>
          <w:rFonts w:ascii="Proxima Nova" w:cs="Proxima Nova" w:eastAsia="Proxima Nova" w:hAnsi="Proxima Nova"/>
          <w:i w:val="1"/>
          <w:sz w:val="22"/>
          <w:szCs w:val="22"/>
          <w:rtl w:val="0"/>
        </w:rPr>
        <w:t xml:space="preserve">Declaratie GZSP heeft alleen betrekking op behandelingen die geschreven zijn door de regiebehandelaar (SO/psycholoog). De paramedische behandeling, ingezet vanuit de GZSP, vallen onder de reguliere eerstelijnszorg; deze worden gedeclareerd vanuit de module ‘Eerstelijns paramedische zorg’.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b w:val="1"/>
          <w:sz w:val="24"/>
          <w:szCs w:val="24"/>
          <w:rtl w:val="0"/>
        </w:rPr>
        <w:t xml:space="preserve">Validatie</w:t>
      </w:r>
      <w:r w:rsidDel="00000000" w:rsidR="00000000" w:rsidRPr="00000000">
        <w:rPr>
          <w:rtl w:val="0"/>
        </w:rPr>
      </w:r>
    </w:p>
    <w:tbl>
      <w:tblPr>
        <w:tblStyle w:val="Table1"/>
        <w:tblW w:w="1338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195"/>
        <w:gridCol w:w="5310"/>
        <w:gridCol w:w="1935"/>
        <w:gridCol w:w="2940"/>
        <w:tblGridChange w:id="0">
          <w:tblGrid>
            <w:gridCol w:w="3195"/>
            <w:gridCol w:w="5310"/>
            <w:gridCol w:w="1935"/>
            <w:gridCol w:w="2940"/>
          </w:tblGrid>
        </w:tblGridChange>
      </w:tblGrid>
      <w:tr>
        <w:trPr>
          <w:cantSplit w:val="0"/>
          <w:tblHeader w:val="0"/>
        </w:trPr>
        <w:tc>
          <w:tcPr>
            <w:shd w:fill="1f497d" w:val="clear"/>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0A">
            <w:pPr>
              <w:widowControl w:val="0"/>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Valideer verrichtingen zorgverzekeraar</w:t>
            </w:r>
          </w:p>
          <w:p w:rsidR="00000000" w:rsidDel="00000000" w:rsidP="00000000" w:rsidRDefault="00000000" w:rsidRPr="00000000" w14:paraId="0000000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het boekjaar en de periode (deze gegevens gaan mee in de financiële export)</w:t>
            </w:r>
          </w:p>
          <w:p w:rsidR="00000000" w:rsidDel="00000000" w:rsidP="00000000" w:rsidRDefault="00000000" w:rsidRPr="00000000" w14:paraId="0000000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een start- en einddatum</w:t>
            </w:r>
            <w:r w:rsidDel="00000000" w:rsidR="00000000" w:rsidRPr="00000000">
              <w:rPr>
                <w:rtl w:val="0"/>
              </w:rPr>
            </w:r>
          </w:p>
          <w:p w:rsidR="00000000" w:rsidDel="00000000" w:rsidP="00000000" w:rsidRDefault="00000000" w:rsidRPr="00000000" w14:paraId="0000000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Klik op ‘Valideren’</w:t>
            </w:r>
          </w:p>
        </w:tc>
        <w:tc>
          <w:tcPr>
            <w:shd w:fill="auto" w:val="clear"/>
          </w:tcPr>
          <w:p w:rsidR="00000000" w:rsidDel="00000000" w:rsidP="00000000" w:rsidRDefault="00000000" w:rsidRPr="00000000" w14:paraId="00000010">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validatie</w:t>
            </w:r>
          </w:p>
        </w:tc>
        <w:tc>
          <w:tcPr/>
          <w:p w:rsidR="00000000" w:rsidDel="00000000" w:rsidP="00000000" w:rsidRDefault="00000000" w:rsidRPr="00000000" w14:paraId="00000011">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12">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Analyseer foutmeldingen in de validatie</w:t>
            </w:r>
          </w:p>
          <w:p w:rsidR="00000000" w:rsidDel="00000000" w:rsidP="00000000" w:rsidRDefault="00000000" w:rsidRPr="00000000" w14:paraId="0000001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Indien zorginhoudelijke aanpassingen nodig zijn, stem dan af wie dit doet.</w:t>
            </w:r>
          </w:p>
          <w:p w:rsidR="00000000" w:rsidDel="00000000" w:rsidP="00000000" w:rsidRDefault="00000000" w:rsidRPr="00000000" w14:paraId="0000001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Indien er sprake is van validatiefouten in de inrichting worden deze doorgegeven aan applicatiebeheer. </w:t>
            </w:r>
          </w:p>
          <w:p w:rsidR="00000000" w:rsidDel="00000000" w:rsidP="00000000" w:rsidRDefault="00000000" w:rsidRPr="00000000" w14:paraId="00000017">
            <w:pPr>
              <w:pStyle w:val="Heading6"/>
              <w:ind w:left="0" w:firstLine="0"/>
              <w:rPr>
                <w:rFonts w:ascii="Proxima Nova" w:cs="Proxima Nova" w:eastAsia="Proxima Nova" w:hAnsi="Proxima Nova"/>
                <w:sz w:val="22"/>
                <w:szCs w:val="22"/>
              </w:rPr>
            </w:pPr>
            <w:bookmarkStart w:colFirst="0" w:colLast="0" w:name="_zi70t7hwprw" w:id="0"/>
            <w:bookmarkEnd w:id="0"/>
            <w:r w:rsidDel="00000000" w:rsidR="00000000" w:rsidRPr="00000000">
              <w:rPr>
                <w:rFonts w:ascii="Proxima Nova" w:cs="Proxima Nova" w:eastAsia="Proxima Nova" w:hAnsi="Proxima Nova"/>
                <w:sz w:val="22"/>
                <w:szCs w:val="22"/>
                <w:rtl w:val="0"/>
              </w:rPr>
              <w:br w:type="textWrapping"/>
              <w:t xml:space="preserve">Nb. Verrichtingen met fouten gaan niet mee met de declaratie.</w:t>
            </w:r>
          </w:p>
        </w:tc>
        <w:tc>
          <w:tcPr>
            <w:shd w:fill="ffffff" w:val="clear"/>
          </w:tcPr>
          <w:p w:rsidR="00000000" w:rsidDel="00000000" w:rsidP="00000000" w:rsidRDefault="00000000" w:rsidRPr="00000000" w14:paraId="00000018">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19">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p w:rsidR="00000000" w:rsidDel="00000000" w:rsidP="00000000" w:rsidRDefault="00000000" w:rsidRPr="00000000" w14:paraId="0000001A">
            <w:pPr>
              <w:widowControl w:val="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B">
            <w:pPr>
              <w:widowControl w:val="0"/>
              <w:rPr>
                <w:rFonts w:ascii="Proxima Nova" w:cs="Proxima Nova" w:eastAsia="Proxima Nova" w:hAnsi="Proxima Nova"/>
                <w:sz w:val="22"/>
                <w:szCs w:val="22"/>
              </w:rPr>
            </w:pPr>
            <w:r w:rsidDel="00000000" w:rsidR="00000000" w:rsidRPr="00000000">
              <w:rPr>
                <w:rtl w:val="0"/>
              </w:rPr>
            </w:r>
          </w:p>
        </w:tc>
      </w:tr>
    </w:tbl>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3"/>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Declaratie</w:t>
      </w:r>
      <w:r w:rsidDel="00000000" w:rsidR="00000000" w:rsidRPr="00000000">
        <w:rPr>
          <w:rtl w:val="0"/>
        </w:rPr>
      </w:r>
    </w:p>
    <w:tbl>
      <w:tblPr>
        <w:tblStyle w:val="Table2"/>
        <w:tblW w:w="1342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240"/>
        <w:gridCol w:w="5280"/>
        <w:gridCol w:w="1935"/>
        <w:gridCol w:w="2970"/>
        <w:tblGridChange w:id="0">
          <w:tblGrid>
            <w:gridCol w:w="3240"/>
            <w:gridCol w:w="5280"/>
            <w:gridCol w:w="1935"/>
            <w:gridCol w:w="2970"/>
          </w:tblGrid>
        </w:tblGridChange>
      </w:tblGrid>
      <w:tr>
        <w:trPr>
          <w:cantSplit w:val="0"/>
          <w:tblHeader w:val="0"/>
        </w:trPr>
        <w:tc>
          <w:tcPr>
            <w:shd w:fill="1f497d" w:val="clear"/>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rHeight w:val="1780" w:hRule="atLeast"/>
          <w:tblHeader w:val="0"/>
        </w:trPr>
        <w:tc>
          <w:tcPr>
            <w:shd w:fill="ffffff" w:val="clear"/>
          </w:tcPr>
          <w:p w:rsidR="00000000" w:rsidDel="00000000" w:rsidP="00000000" w:rsidRDefault="00000000" w:rsidRPr="00000000" w14:paraId="00000023">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25">
            <w:pPr>
              <w:widowControl w:val="0"/>
              <w:numPr>
                <w:ilvl w:val="0"/>
                <w:numId w:val="2"/>
              </w:numPr>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het boekjaar en de periode (deze gegevens gaan mee in de financiële export)</w:t>
            </w:r>
          </w:p>
          <w:p w:rsidR="00000000" w:rsidDel="00000000" w:rsidP="00000000" w:rsidRDefault="00000000" w:rsidRPr="00000000" w14:paraId="00000026">
            <w:pPr>
              <w:widowControl w:val="0"/>
              <w:numPr>
                <w:ilvl w:val="0"/>
                <w:numId w:val="2"/>
              </w:numPr>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Selecteer een start- en einddatum (stel deze cumulatief in, vanaf 1 januari van het geldende jaar)</w:t>
            </w:r>
          </w:p>
          <w:p w:rsidR="00000000" w:rsidDel="00000000" w:rsidP="00000000" w:rsidRDefault="00000000" w:rsidRPr="00000000" w14:paraId="00000027">
            <w:pPr>
              <w:widowControl w:val="0"/>
              <w:numPr>
                <w:ilvl w:val="0"/>
                <w:numId w:val="2"/>
              </w:numPr>
              <w:ind w:left="357"/>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‘Genereer declaratie'</w:t>
            </w:r>
            <w:r w:rsidDel="00000000" w:rsidR="00000000" w:rsidRPr="00000000">
              <w:rPr>
                <w:rtl w:val="0"/>
              </w:rPr>
            </w:r>
          </w:p>
        </w:tc>
        <w:tc>
          <w:tcPr>
            <w:shd w:fill="auto" w:val="clear"/>
          </w:tcPr>
          <w:p w:rsidR="00000000" w:rsidDel="00000000" w:rsidP="00000000" w:rsidRDefault="00000000" w:rsidRPr="00000000" w14:paraId="00000028">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w:t>
            </w:r>
            <w:r w:rsidDel="00000000" w:rsidR="00000000" w:rsidRPr="00000000">
              <w:rPr>
                <w:rFonts w:ascii="Proxima Nova" w:cs="Proxima Nova" w:eastAsia="Proxima Nova" w:hAnsi="Proxima Nova"/>
                <w:i w:val="1"/>
                <w:color w:val="1f497d"/>
                <w:sz w:val="22"/>
                <w:szCs w:val="22"/>
                <w:rtl w:val="0"/>
              </w:rPr>
              <w:t xml:space="preserve">een</w:t>
            </w:r>
            <w:r w:rsidDel="00000000" w:rsidR="00000000" w:rsidRPr="00000000">
              <w:rPr>
                <w:rFonts w:ascii="Proxima Nova" w:cs="Proxima Nova" w:eastAsia="Proxima Nova" w:hAnsi="Proxima Nova"/>
                <w:i w:val="1"/>
                <w:color w:val="1c4587"/>
                <w:sz w:val="22"/>
                <w:szCs w:val="22"/>
                <w:rtl w:val="0"/>
              </w:rPr>
              <w:t xml:space="preserve"> moment van declaratie</w:t>
            </w:r>
          </w:p>
        </w:tc>
        <w:tc>
          <w:tcPr/>
          <w:p w:rsidR="00000000" w:rsidDel="00000000" w:rsidP="00000000" w:rsidRDefault="00000000" w:rsidRPr="00000000" w14:paraId="00000029">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Declaratiemedewerker</w:t>
            </w:r>
          </w:p>
        </w:tc>
      </w:tr>
      <w:tr>
        <w:trPr>
          <w:cantSplit w:val="0"/>
          <w:trHeight w:val="1155" w:hRule="atLeast"/>
          <w:tblHeader w:val="0"/>
        </w:trPr>
        <w:tc>
          <w:tcPr>
            <w:shd w:fill="ffffff" w:val="clear"/>
          </w:tcPr>
          <w:p w:rsidR="00000000" w:rsidDel="00000000" w:rsidP="00000000" w:rsidRDefault="00000000" w:rsidRPr="00000000" w14:paraId="0000002A">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2B">
            <w:pPr>
              <w:widowControl w:val="0"/>
              <w:rPr>
                <w:rFonts w:ascii="Proxima Nova" w:cs="Proxima Nova" w:eastAsia="Proxima Nova" w:hAnsi="Proxima Nova"/>
                <w:sz w:val="22"/>
                <w:szCs w:val="22"/>
              </w:rPr>
            </w:pPr>
            <w:r w:rsidDel="00000000" w:rsidR="00000000" w:rsidRPr="00000000">
              <w:rPr>
                <w:rtl w:val="0"/>
              </w:rPr>
            </w:r>
          </w:p>
        </w:tc>
        <w:tc>
          <w:tcPr>
            <w:gridSpan w:val="3"/>
            <w:shd w:fill="ffffff" w:val="clear"/>
          </w:tcPr>
          <w:p w:rsidR="00000000" w:rsidDel="00000000" w:rsidP="00000000" w:rsidRDefault="00000000" w:rsidRPr="00000000" w14:paraId="0000002C">
            <w:pPr>
              <w:widowControl w:val="0"/>
              <w:ind w:left="0" w:firstLine="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 aangemaakte facturen staan onder ‘Declaratiebestanden’. Op het tabblad ‘Declareren’.</w:t>
            </w:r>
          </w:p>
          <w:p w:rsidR="00000000" w:rsidDel="00000000" w:rsidP="00000000" w:rsidRDefault="00000000" w:rsidRPr="00000000" w14:paraId="0000002D">
            <w:pPr>
              <w:widowControl w:val="0"/>
              <w:ind w:left="0" w:firstLine="0"/>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E">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Vanaf nu is het niet meer mogelijk om de gedeclareerde verrichtingen aan te passen in het behandeldossier.</w:t>
            </w:r>
          </w:p>
        </w:tc>
      </w:tr>
    </w:tbl>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pStyle w:val="Heading3"/>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Retourinformatie ontvangen</w:t>
      </w:r>
      <w:r w:rsidDel="00000000" w:rsidR="00000000" w:rsidRPr="00000000">
        <w:rPr>
          <w:rtl w:val="0"/>
        </w:rPr>
      </w:r>
    </w:p>
    <w:tbl>
      <w:tblPr>
        <w:tblStyle w:val="Table3"/>
        <w:tblW w:w="1342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270"/>
        <w:gridCol w:w="5295"/>
        <w:gridCol w:w="1920"/>
        <w:gridCol w:w="2940"/>
        <w:tblGridChange w:id="0">
          <w:tblGrid>
            <w:gridCol w:w="3270"/>
            <w:gridCol w:w="5295"/>
            <w:gridCol w:w="1920"/>
            <w:gridCol w:w="2940"/>
          </w:tblGrid>
        </w:tblGridChange>
      </w:tblGrid>
      <w:tr>
        <w:trPr>
          <w:cantSplit w:val="0"/>
          <w:tblHeader w:val="0"/>
        </w:trPr>
        <w:tc>
          <w:tcPr>
            <w:shd w:fill="1f497d" w:val="cle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37">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1. Tabblad ‘Declareren’</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Retourinformatie inlezen</w:t>
            </w:r>
          </w:p>
          <w:p w:rsidR="00000000" w:rsidDel="00000000" w:rsidP="00000000" w:rsidRDefault="00000000" w:rsidRPr="00000000" w14:paraId="0000003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Klik op ‘VECOZO status bijwerken’</w:t>
            </w:r>
          </w:p>
        </w:tc>
        <w:tc>
          <w:tcPr>
            <w:shd w:fill="auto" w:val="clear"/>
          </w:tcPr>
          <w:p w:rsidR="00000000" w:rsidDel="00000000" w:rsidP="00000000" w:rsidRDefault="00000000" w:rsidRPr="00000000" w14:paraId="0000003B">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een moment voor het verwerken van de retourinformatie</w:t>
            </w:r>
          </w:p>
        </w:tc>
        <w:tc>
          <w:tcPr/>
          <w:p w:rsidR="00000000" w:rsidDel="00000000" w:rsidP="00000000" w:rsidRDefault="00000000" w:rsidRPr="00000000" w14:paraId="0000003C">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r>
        <w:trPr>
          <w:cantSplit w:val="0"/>
          <w:trHeight w:val="500" w:hRule="atLeast"/>
          <w:tblHeader w:val="0"/>
        </w:trPr>
        <w:tc>
          <w:tcPr>
            <w:shd w:fill="ffffff" w:val="clear"/>
          </w:tcPr>
          <w:p w:rsidR="00000000" w:rsidDel="00000000" w:rsidP="00000000" w:rsidRDefault="00000000" w:rsidRPr="00000000" w14:paraId="0000003D">
            <w:pPr>
              <w:widowControl w:val="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2. Tabblad ‘Declareren’</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tc>
        <w:tc>
          <w:tcPr>
            <w:shd w:fill="ffffff" w:val="clea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Controleer of voor alle facturen retourbestanden beschikbaar zijn. Neem anders contact op met de debiteur(en). </w:t>
            </w:r>
          </w:p>
        </w:tc>
        <w:tc>
          <w:tcPr>
            <w:shd w:fill="ffffff" w:val="clear"/>
          </w:tcPr>
          <w:p w:rsidR="00000000" w:rsidDel="00000000" w:rsidP="00000000" w:rsidRDefault="00000000" w:rsidRPr="00000000" w14:paraId="00000040">
            <w:pPr>
              <w:widowControl w:val="0"/>
              <w:rPr>
                <w:rFonts w:ascii="Proxima Nova" w:cs="Proxima Nova" w:eastAsia="Proxima Nova" w:hAnsi="Proxima Nova"/>
                <w:sz w:val="22"/>
                <w:szCs w:val="22"/>
              </w:rPr>
            </w:pPr>
            <w:r w:rsidDel="00000000" w:rsidR="00000000" w:rsidRPr="00000000">
              <w:rPr>
                <w:rtl w:val="0"/>
              </w:rPr>
            </w:r>
          </w:p>
        </w:tc>
        <w:tc>
          <w:tcPr/>
          <w:p w:rsidR="00000000" w:rsidDel="00000000" w:rsidP="00000000" w:rsidRDefault="00000000" w:rsidRPr="00000000" w14:paraId="00000041">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43">
      <w:pPr>
        <w:keepNext w:val="1"/>
        <w:keepLines w:val="1"/>
        <w:spacing w:before="200" w:lineRule="auto"/>
        <w:rPr>
          <w:rFonts w:ascii="Proxima Nova" w:cs="Proxima Nova" w:eastAsia="Proxima Nova" w:hAnsi="Proxima Nov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1"/>
        <w:keepLines w:val="1"/>
        <w:spacing w:before="200" w:lineRule="auto"/>
        <w:rPr>
          <w:rFonts w:ascii="Proxima Nova" w:cs="Proxima Nova" w:eastAsia="Proxima Nova" w:hAnsi="Proxima Nova"/>
          <w:b w:val="1"/>
        </w:rPr>
      </w:pPr>
      <w:r w:rsidDel="00000000" w:rsidR="00000000" w:rsidRPr="00000000">
        <w:rPr>
          <w:rFonts w:ascii="Proxima Nova" w:cs="Proxima Nova" w:eastAsia="Proxima Nova" w:hAnsi="Proxima Nova"/>
          <w:b w:val="1"/>
          <w:sz w:val="26"/>
          <w:szCs w:val="26"/>
          <w:rtl w:val="0"/>
        </w:rPr>
        <w:t xml:space="preserve">Retourinformatie - verwerken afgewezen verrichtingen</w:t>
      </w:r>
      <w:r w:rsidDel="00000000" w:rsidR="00000000" w:rsidRPr="00000000">
        <w:rPr>
          <w:rtl w:val="0"/>
        </w:rPr>
      </w:r>
    </w:p>
    <w:tbl>
      <w:tblPr>
        <w:tblStyle w:val="Table4"/>
        <w:tblW w:w="1317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3210"/>
        <w:gridCol w:w="5415"/>
        <w:gridCol w:w="1980"/>
        <w:gridCol w:w="2565"/>
        <w:tblGridChange w:id="0">
          <w:tblGrid>
            <w:gridCol w:w="3210"/>
            <w:gridCol w:w="5415"/>
            <w:gridCol w:w="1980"/>
            <w:gridCol w:w="2565"/>
          </w:tblGrid>
        </w:tblGridChange>
      </w:tblGrid>
      <w:tr>
        <w:trPr>
          <w:cantSplit w:val="0"/>
          <w:trHeight w:val="328.5546875" w:hRule="atLeast"/>
          <w:tblHeader w:val="0"/>
        </w:trPr>
        <w:tc>
          <w:tcPr>
            <w:shd w:fill="1f497d" w:val="clear"/>
          </w:tcPr>
          <w:p w:rsidR="00000000" w:rsidDel="00000000" w:rsidP="00000000" w:rsidRDefault="00000000" w:rsidRPr="00000000" w14:paraId="00000045">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Waar</w:t>
            </w:r>
          </w:p>
        </w:tc>
        <w:tc>
          <w:tcPr>
            <w:shd w:fill="1f497d" w:val="clear"/>
          </w:tcPr>
          <w:p w:rsidR="00000000" w:rsidDel="00000000" w:rsidP="00000000" w:rsidRDefault="00000000" w:rsidRPr="00000000" w14:paraId="00000046">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Wat</w:t>
            </w:r>
          </w:p>
        </w:tc>
        <w:tc>
          <w:tcPr>
            <w:shd w:fill="1f497d" w:val="clear"/>
          </w:tcPr>
          <w:p w:rsidR="00000000" w:rsidDel="00000000" w:rsidP="00000000" w:rsidRDefault="00000000" w:rsidRPr="00000000" w14:paraId="00000047">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Wanneer</w:t>
            </w:r>
          </w:p>
        </w:tc>
        <w:tc>
          <w:tcPr>
            <w:shd w:fill="1f497d" w:val="clear"/>
          </w:tcPr>
          <w:p w:rsidR="00000000" w:rsidDel="00000000" w:rsidP="00000000" w:rsidRDefault="00000000" w:rsidRPr="00000000" w14:paraId="00000048">
            <w:pPr>
              <w:rPr>
                <w:rFonts w:ascii="Proxima Nova" w:cs="Proxima Nova" w:eastAsia="Proxima Nova" w:hAnsi="Proxima Nova"/>
                <w:b w:val="0"/>
                <w:color w:val="ffffff"/>
              </w:rPr>
            </w:pPr>
            <w:r w:rsidDel="00000000" w:rsidR="00000000" w:rsidRPr="00000000">
              <w:rPr>
                <w:rFonts w:ascii="Proxima Nova" w:cs="Proxima Nova" w:eastAsia="Proxima Nova" w:hAnsi="Proxima Nova"/>
                <w:b w:val="0"/>
                <w:color w:val="ffffff"/>
                <w:rtl w:val="0"/>
              </w:rPr>
              <w:t xml:space="preserve">Wie</w:t>
            </w:r>
          </w:p>
        </w:tc>
      </w:tr>
      <w:tr>
        <w:trPr>
          <w:cantSplit w:val="0"/>
          <w:trHeight w:val="4410" w:hRule="atLeast"/>
          <w:tblHeader w:val="0"/>
        </w:trPr>
        <w:tc>
          <w:tcPr>
            <w:shd w:fill="auto" w:val="clear"/>
          </w:tcPr>
          <w:p w:rsidR="00000000" w:rsidDel="00000000" w:rsidP="00000000" w:rsidRDefault="00000000" w:rsidRPr="00000000" w14:paraId="00000049">
            <w:pPr>
              <w:rPr>
                <w:rFonts w:ascii="Proxima Nova" w:cs="Proxima Nova" w:eastAsia="Proxima Nova" w:hAnsi="Proxima Nova"/>
                <w:b w:val="0"/>
              </w:rPr>
            </w:pPr>
            <w:r w:rsidDel="00000000" w:rsidR="00000000" w:rsidRPr="00000000">
              <w:rPr>
                <w:rFonts w:ascii="Proxima Nova" w:cs="Proxima Nova" w:eastAsia="Proxima Nova" w:hAnsi="Proxima Nova"/>
                <w:b w:val="0"/>
                <w:rtl w:val="0"/>
              </w:rPr>
              <w:t xml:space="preserve">1. Tabblad ‘Overzicht’</w:t>
            </w:r>
          </w:p>
          <w:p w:rsidR="00000000" w:rsidDel="00000000" w:rsidP="00000000" w:rsidRDefault="00000000" w:rsidRPr="00000000" w14:paraId="0000004A">
            <w:pPr>
              <w:rPr>
                <w:rFonts w:ascii="Proxima Nova" w:cs="Proxima Nova" w:eastAsia="Proxima Nova" w:hAnsi="Proxima Nova"/>
                <w:b w:val="0"/>
              </w:rPr>
            </w:pPr>
            <w:r w:rsidDel="00000000" w:rsidR="00000000" w:rsidRPr="00000000">
              <w:rPr>
                <w:rtl w:val="0"/>
              </w:rPr>
            </w:r>
          </w:p>
        </w:tc>
        <w:tc>
          <w:tcPr>
            <w:shd w:fill="auto" w:val="clear"/>
          </w:tcPr>
          <w:p w:rsidR="00000000" w:rsidDel="00000000" w:rsidP="00000000" w:rsidRDefault="00000000" w:rsidRPr="00000000" w14:paraId="0000004B">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Klik op de status ‘Afgewezen’</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Beoordeel oorzaak afgewezen verrichtingen </w:t>
              <w:br w:type="textWrapping"/>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Indien aanpassingen in de verrichting nodig zijn:</w:t>
            </w:r>
          </w:p>
          <w:p w:rsidR="00000000" w:rsidDel="00000000" w:rsidP="00000000" w:rsidRDefault="00000000" w:rsidRPr="00000000" w14:paraId="0000004E">
            <w:pPr>
              <w:widowControl w:val="0"/>
              <w:numPr>
                <w:ilvl w:val="0"/>
                <w:numId w:val="1"/>
              </w:numPr>
              <w:ind w:left="360"/>
              <w:rPr>
                <w:rFonts w:ascii="Proxima Nova" w:cs="Proxima Nova" w:eastAsia="Proxima Nova" w:hAnsi="Proxima Nova"/>
              </w:rPr>
            </w:pPr>
            <w:r w:rsidDel="00000000" w:rsidR="00000000" w:rsidRPr="00000000">
              <w:rPr>
                <w:rFonts w:ascii="Proxima Nova" w:cs="Proxima Nova" w:eastAsia="Proxima Nova" w:hAnsi="Proxima Nova"/>
                <w:rtl w:val="0"/>
              </w:rPr>
              <w:t xml:space="preserve">Kies voor ‘Herdeclareren’</w:t>
            </w:r>
          </w:p>
          <w:p w:rsidR="00000000" w:rsidDel="00000000" w:rsidP="00000000" w:rsidRDefault="00000000" w:rsidRPr="00000000" w14:paraId="0000004F">
            <w:pPr>
              <w:widowControl w:val="0"/>
              <w:numPr>
                <w:ilvl w:val="0"/>
                <w:numId w:val="1"/>
              </w:numPr>
              <w:ind w:left="360"/>
              <w:rPr>
                <w:rFonts w:ascii="Proxima Nova" w:cs="Proxima Nova" w:eastAsia="Proxima Nova" w:hAnsi="Proxima Nova"/>
              </w:rPr>
            </w:pPr>
            <w:r w:rsidDel="00000000" w:rsidR="00000000" w:rsidRPr="00000000">
              <w:rPr>
                <w:rFonts w:ascii="Proxima Nova" w:cs="Proxima Nova" w:eastAsia="Proxima Nova" w:hAnsi="Proxima Nova"/>
                <w:rtl w:val="0"/>
              </w:rPr>
              <w:t xml:space="preserve">Herdeclareren: de verrichting kan gewijzigd worden in het behandeldossier, zodat de reden van afkeur niet meer van toepassing is. De verrichting wordt opnieuw gedeclareerd zodra de maand waarop deze verrichting is verricht opnieuw wordt gedeclareerd.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Indien de verricht niet opnieuw moet worden ingediend:</w:t>
            </w:r>
          </w:p>
          <w:p w:rsidR="00000000" w:rsidDel="00000000" w:rsidP="00000000" w:rsidRDefault="00000000" w:rsidRPr="00000000" w14:paraId="0000005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roxima Nova" w:cs="Proxima Nova" w:eastAsia="Proxima Nova" w:hAnsi="Proxima Nova"/>
              </w:rPr>
            </w:pPr>
            <w:r w:rsidDel="00000000" w:rsidR="00000000" w:rsidRPr="00000000">
              <w:rPr>
                <w:rFonts w:ascii="Proxima Nova" w:cs="Proxima Nova" w:eastAsia="Proxima Nova" w:hAnsi="Proxima Nova"/>
                <w:rtl w:val="0"/>
              </w:rPr>
              <w:t xml:space="preserve">Kies voor </w:t>
            </w:r>
            <w:r w:rsidDel="00000000" w:rsidR="00000000" w:rsidRPr="00000000">
              <w:rPr>
                <w:rFonts w:ascii="Proxima Nova" w:cs="Proxima Nova" w:eastAsia="Proxima Nova" w:hAnsi="Proxima Nova"/>
                <w:rtl w:val="0"/>
              </w:rPr>
              <w:t xml:space="preserve">‘Niet meer indienen’.</w:t>
              <w:br w:type="textWrapping"/>
            </w:r>
            <w:r w:rsidDel="00000000" w:rsidR="00000000" w:rsidRPr="00000000">
              <w:rPr>
                <w:rFonts w:ascii="Proxima Nova" w:cs="Proxima Nova" w:eastAsia="Proxima Nova" w:hAnsi="Proxima Nova"/>
                <w:rtl w:val="0"/>
              </w:rPr>
              <w:t xml:space="preserve">De verrichting wordt niet meer opnieuw ingediend bij de zorgverzekeraar. </w:t>
            </w:r>
          </w:p>
        </w:tc>
        <w:tc>
          <w:tcPr>
            <w:shd w:fill="auto" w:val="clear"/>
          </w:tcPr>
          <w:p w:rsidR="00000000" w:rsidDel="00000000" w:rsidP="00000000" w:rsidRDefault="00000000" w:rsidRPr="00000000" w14:paraId="00000052">
            <w:pPr>
              <w:rPr>
                <w:rFonts w:ascii="Proxima Nova" w:cs="Proxima Nova" w:eastAsia="Proxima Nova" w:hAnsi="Proxima Nova"/>
                <w:i w:val="1"/>
                <w:color w:val="1c4587"/>
              </w:rPr>
            </w:pPr>
            <w:r w:rsidDel="00000000" w:rsidR="00000000" w:rsidRPr="00000000">
              <w:rPr>
                <w:rFonts w:ascii="Proxima Nova" w:cs="Proxima Nova" w:eastAsia="Proxima Nova" w:hAnsi="Proxima Nova"/>
                <w:i w:val="1"/>
                <w:color w:val="1c4587"/>
                <w:rtl w:val="0"/>
              </w:rPr>
              <w:t xml:space="preserve">Kies een moment voor het verwerken van de retourinformatie</w:t>
            </w:r>
          </w:p>
        </w:tc>
        <w:tc>
          <w:tcPr/>
          <w:p w:rsidR="00000000" w:rsidDel="00000000" w:rsidP="00000000" w:rsidRDefault="00000000" w:rsidRPr="00000000" w14:paraId="00000053">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Declaratiemedewerker</w:t>
            </w:r>
          </w:p>
          <w:p w:rsidR="00000000" w:rsidDel="00000000" w:rsidP="00000000" w:rsidRDefault="00000000" w:rsidRPr="00000000" w14:paraId="00000054">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6">
            <w:pPr>
              <w:rPr>
                <w:rFonts w:ascii="Proxima Nova" w:cs="Proxima Nova" w:eastAsia="Proxima Nova" w:hAnsi="Proxima Nova"/>
              </w:rPr>
            </w:pPr>
            <w:r w:rsidDel="00000000" w:rsidR="00000000" w:rsidRPr="00000000">
              <w:rPr>
                <w:rFonts w:ascii="Proxima Nova" w:cs="Proxima Nova" w:eastAsia="Proxima Nova" w:hAnsi="Proxima Nova"/>
                <w:i w:val="1"/>
                <w:color w:val="1f497d"/>
                <w:rtl w:val="0"/>
              </w:rPr>
              <w:t xml:space="preserve">Indien zorginhoudelijke aanpassingen nodig zijn, stem dan af wie dit doet.</w:t>
            </w: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58">
      <w:pPr>
        <w:pStyle w:val="Heading3"/>
        <w:rPr>
          <w:rFonts w:ascii="Proxima Nova" w:cs="Proxima Nova" w:eastAsia="Proxima Nova" w:hAnsi="Proxima Nova"/>
          <w:i w:val="0"/>
          <w:smallCaps w:val="0"/>
          <w:strike w:val="0"/>
          <w:color w:val="000000"/>
          <w:u w:val="none"/>
          <w:shd w:fill="auto" w:val="clear"/>
          <w:vertAlign w:val="baseline"/>
        </w:rPr>
      </w:pPr>
      <w:r w:rsidDel="00000000" w:rsidR="00000000" w:rsidRPr="00000000">
        <w:rPr>
          <w:rFonts w:ascii="Proxima Nova" w:cs="Proxima Nova" w:eastAsia="Proxima Nova" w:hAnsi="Proxima Nova"/>
          <w:rtl w:val="0"/>
        </w:rPr>
        <w:t xml:space="preserve">Crediteren van verrichtingen</w:t>
      </w:r>
      <w:r w:rsidDel="00000000" w:rsidR="00000000" w:rsidRPr="00000000">
        <w:rPr>
          <w:rtl w:val="0"/>
        </w:rPr>
      </w:r>
    </w:p>
    <w:tbl>
      <w:tblPr>
        <w:tblStyle w:val="Table5"/>
        <w:tblW w:w="13170.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3195"/>
        <w:gridCol w:w="5415"/>
        <w:gridCol w:w="2010"/>
        <w:gridCol w:w="2550"/>
        <w:tblGridChange w:id="0">
          <w:tblGrid>
            <w:gridCol w:w="3195"/>
            <w:gridCol w:w="5415"/>
            <w:gridCol w:w="2010"/>
            <w:gridCol w:w="2550"/>
          </w:tblGrid>
        </w:tblGridChange>
      </w:tblGrid>
      <w:tr>
        <w:trPr>
          <w:cantSplit w:val="0"/>
          <w:tblHeader w:val="0"/>
        </w:trPr>
        <w:tc>
          <w:tcPr>
            <w:shd w:fill="1f497d" w:val="clea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Waar</w:t>
            </w:r>
            <w:r w:rsidDel="00000000" w:rsidR="00000000" w:rsidRPr="00000000">
              <w:rPr>
                <w:rtl w:val="0"/>
              </w:rPr>
            </w:r>
          </w:p>
        </w:tc>
        <w:tc>
          <w:tcPr>
            <w:shd w:fill="1f497d" w:val="clear"/>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color w:val="ffffff"/>
                <w:sz w:val="22"/>
                <w:szCs w:val="22"/>
                <w:rtl w:val="0"/>
              </w:rPr>
              <w:t xml:space="preserve">Wat</w:t>
            </w:r>
            <w:r w:rsidDel="00000000" w:rsidR="00000000" w:rsidRPr="00000000">
              <w:rPr>
                <w:rtl w:val="0"/>
              </w:rPr>
            </w:r>
          </w:p>
        </w:tc>
        <w:tc>
          <w:tcPr>
            <w:shd w:fill="1f497d" w:val="clear"/>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Wanneer</w:t>
            </w:r>
          </w:p>
        </w:tc>
        <w:tc>
          <w:tcPr>
            <w:shd w:fill="1f497d" w:val="clear"/>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ffffff"/>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ffffff"/>
                <w:sz w:val="22"/>
                <w:szCs w:val="22"/>
                <w:u w:val="none"/>
                <w:shd w:fill="auto" w:val="clear"/>
                <w:vertAlign w:val="baseline"/>
                <w:rtl w:val="0"/>
              </w:rPr>
              <w:t xml:space="preserve">Wie</w:t>
            </w:r>
          </w:p>
        </w:tc>
      </w:tr>
      <w:tr>
        <w:trPr>
          <w:cantSplit w:val="0"/>
          <w:tblHeader w:val="0"/>
        </w:trPr>
        <w:tc>
          <w:tcPr>
            <w:shd w:fill="ffffff" w:val="clea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1.  Tabblad ‘Overzicht’</w:t>
            </w:r>
            <w:r w:rsidDel="00000000" w:rsidR="00000000" w:rsidRPr="00000000">
              <w:rPr>
                <w:rtl w:val="0"/>
              </w:rPr>
            </w:r>
          </w:p>
        </w:tc>
        <w:tc>
          <w:tcPr>
            <w:shd w:fill="ffffff" w:val="clear"/>
          </w:tcPr>
          <w:p w:rsidR="00000000" w:rsidDel="00000000" w:rsidP="00000000" w:rsidRDefault="00000000" w:rsidRPr="00000000" w14:paraId="0000005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57" w:right="0" w:hanging="357"/>
              <w:jc w:val="left"/>
              <w:rPr>
                <w:rFonts w:ascii="Proxima Nova" w:cs="Proxima Nova" w:eastAsia="Proxima Nova" w:hAnsi="Proxima Nova"/>
                <w:i w:val="0"/>
                <w:smallCaps w:val="0"/>
                <w:strike w:val="0"/>
                <w:color w:val="000000"/>
                <w:sz w:val="22"/>
                <w:szCs w:val="22"/>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Crediteren: </w:t>
            </w:r>
            <w:r w:rsidDel="00000000" w:rsidR="00000000" w:rsidRPr="00000000">
              <w:rPr>
                <w:rFonts w:ascii="Proxima Nova" w:cs="Proxima Nova" w:eastAsia="Proxima Nova" w:hAnsi="Proxima Nova"/>
                <w:sz w:val="22"/>
                <w:szCs w:val="22"/>
                <w:rtl w:val="0"/>
              </w:rPr>
              <w:t xml:space="preserve">e</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en goedgekeurde verrichting kan gecrediteerd worden, indien hier een fout wordt ontdekt.</w:t>
            </w:r>
          </w:p>
          <w:p w:rsidR="00000000" w:rsidDel="00000000" w:rsidP="00000000" w:rsidRDefault="00000000" w:rsidRPr="00000000" w14:paraId="0000005F">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Klik op het tabblad ‘Overzicht’  op het kopje ‘Goedgekeurd’.</w:t>
            </w:r>
          </w:p>
          <w:p w:rsidR="00000000" w:rsidDel="00000000" w:rsidP="00000000" w:rsidRDefault="00000000" w:rsidRPr="00000000" w14:paraId="00000060">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Per verrichting kan worden gecrediteerd; na goedkeuring van de creditering kan de wijziging in het behandeldossier gedaan worden, zodat de fout hersteld wordt.</w:t>
            </w:r>
          </w:p>
          <w:p w:rsidR="00000000" w:rsidDel="00000000" w:rsidP="00000000" w:rsidRDefault="00000000" w:rsidRPr="00000000" w14:paraId="00000061">
            <w:pPr>
              <w:pStyle w:val="Heading6"/>
              <w:numPr>
                <w:ilvl w:val="0"/>
                <w:numId w:val="3"/>
              </w:numPr>
              <w:pBdr>
                <w:top w:space="0" w:sz="0" w:val="nil"/>
                <w:left w:space="0" w:sz="0" w:val="nil"/>
                <w:bottom w:space="0" w:sz="0" w:val="nil"/>
                <w:right w:space="0" w:sz="0" w:val="nil"/>
                <w:between w:space="0" w:sz="0" w:val="nil"/>
              </w:pBdr>
              <w:ind w:left="717" w:hanging="360"/>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De verrichting wordt opnieuw gedeclareerd zodra de periode waarin deze verrichting is gedaan, opnieuw wordt gedeclareerd. </w:t>
            </w:r>
          </w:p>
        </w:tc>
        <w:tc>
          <w:tcPr>
            <w:shd w:fill="auto" w:val="clear"/>
          </w:tcPr>
          <w:p w:rsidR="00000000" w:rsidDel="00000000" w:rsidP="00000000" w:rsidRDefault="00000000" w:rsidRPr="00000000" w14:paraId="00000062">
            <w:pPr>
              <w:rPr>
                <w:rFonts w:ascii="Proxima Nova" w:cs="Proxima Nova" w:eastAsia="Proxima Nova" w:hAnsi="Proxima Nova"/>
                <w:i w:val="1"/>
                <w:color w:val="1c4587"/>
                <w:sz w:val="22"/>
                <w:szCs w:val="22"/>
              </w:rPr>
            </w:pPr>
            <w:r w:rsidDel="00000000" w:rsidR="00000000" w:rsidRPr="00000000">
              <w:rPr>
                <w:rFonts w:ascii="Proxima Nova" w:cs="Proxima Nova" w:eastAsia="Proxima Nova" w:hAnsi="Proxima Nova"/>
                <w:i w:val="1"/>
                <w:color w:val="1c4587"/>
                <w:sz w:val="22"/>
                <w:szCs w:val="22"/>
                <w:rtl w:val="0"/>
              </w:rPr>
              <w:t xml:space="preserve">Kies een moment voor het crediteren</w:t>
            </w:r>
          </w:p>
        </w:tc>
        <w:tc>
          <w:tcPr/>
          <w:p w:rsidR="00000000" w:rsidDel="00000000" w:rsidP="00000000" w:rsidRDefault="00000000" w:rsidRPr="00000000" w14:paraId="00000063">
            <w:pPr>
              <w:widowControl w:val="0"/>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Declaratiemedewerker</w:t>
            </w:r>
            <w:r w:rsidDel="00000000" w:rsidR="00000000" w:rsidRPr="00000000">
              <w:rPr>
                <w:rtl w:val="0"/>
              </w:rPr>
            </w:r>
          </w:p>
        </w:tc>
      </w:tr>
    </w:tbl>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22"/>
          <w:szCs w:val="22"/>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Het proces van </w:t>
      </w:r>
      <w:r w:rsidDel="00000000" w:rsidR="00000000" w:rsidRPr="00000000">
        <w:rPr>
          <w:rFonts w:ascii="Proxima Nova" w:cs="Proxima Nova" w:eastAsia="Proxima Nova" w:hAnsi="Proxima Nova"/>
          <w:i w:val="1"/>
          <w:smallCaps w:val="0"/>
          <w:strike w:val="0"/>
          <w:color w:val="000000"/>
          <w:sz w:val="22"/>
          <w:szCs w:val="22"/>
          <w:u w:val="none"/>
          <w:shd w:fill="auto" w:val="clear"/>
          <w:vertAlign w:val="baseline"/>
          <w:rtl w:val="0"/>
        </w:rPr>
        <w:t xml:space="preserve">Declaratie</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i w:val="1"/>
          <w:smallCaps w:val="0"/>
          <w:strike w:val="0"/>
          <w:color w:val="000000"/>
          <w:sz w:val="22"/>
          <w:szCs w:val="22"/>
          <w:u w:val="none"/>
          <w:shd w:fill="auto" w:val="clear"/>
          <w:vertAlign w:val="baseline"/>
          <w:rtl w:val="0"/>
        </w:rPr>
        <w:t xml:space="preserve">Retourinformatie ontvangen, Retourinformatie verwerken</w:t>
      </w:r>
      <w:r w:rsidDel="00000000" w:rsidR="00000000" w:rsidRPr="00000000">
        <w:rPr>
          <w:rFonts w:ascii="Proxima Nova" w:cs="Proxima Nova" w:eastAsia="Proxima Nova" w:hAnsi="Proxima Nova"/>
          <w:i w:val="1"/>
          <w:sz w:val="22"/>
          <w:szCs w:val="22"/>
          <w:rtl w:val="0"/>
        </w:rPr>
        <w:t xml:space="preserve"> </w:t>
      </w:r>
      <w:r w:rsidDel="00000000" w:rsidR="00000000" w:rsidRPr="00000000">
        <w:rPr>
          <w:rFonts w:ascii="Proxima Nova" w:cs="Proxima Nova" w:eastAsia="Proxima Nova" w:hAnsi="Proxima Nova"/>
          <w:sz w:val="22"/>
          <w:szCs w:val="22"/>
          <w:rtl w:val="0"/>
        </w:rPr>
        <w:t xml:space="preserve">en</w:t>
      </w:r>
      <w:r w:rsidDel="00000000" w:rsidR="00000000" w:rsidRPr="00000000">
        <w:rPr>
          <w:rFonts w:ascii="Proxima Nova" w:cs="Proxima Nova" w:eastAsia="Proxima Nova" w:hAnsi="Proxima Nova"/>
          <w:i w:val="1"/>
          <w:sz w:val="22"/>
          <w:szCs w:val="22"/>
          <w:rtl w:val="0"/>
        </w:rPr>
        <w:t xml:space="preserve"> Crediteren van verrichtingen</w:t>
      </w:r>
      <w:r w:rsidDel="00000000" w:rsidR="00000000" w:rsidRPr="00000000">
        <w:rPr>
          <w:rFonts w:ascii="Proxima Nova" w:cs="Proxima Nova" w:eastAsia="Proxima Nova" w:hAnsi="Proxima Nova"/>
          <w:i w:val="1"/>
          <w:smallCaps w:val="0"/>
          <w:strike w:val="0"/>
          <w:color w:val="000000"/>
          <w:sz w:val="22"/>
          <w:szCs w:val="22"/>
          <w:u w:val="none"/>
          <w:shd w:fill="auto" w:val="clear"/>
          <w:vertAlign w:val="baseline"/>
          <w:rtl w:val="0"/>
        </w:rPr>
        <w:t xml:space="preserve"> </w:t>
      </w:r>
      <w:r w:rsidDel="00000000" w:rsidR="00000000" w:rsidRPr="00000000">
        <w:rPr>
          <w:rFonts w:ascii="Proxima Nova" w:cs="Proxima Nova" w:eastAsia="Proxima Nova" w:hAnsi="Proxima Nova"/>
          <w:sz w:val="22"/>
          <w:szCs w:val="22"/>
          <w:rtl w:val="0"/>
        </w:rPr>
        <w:t xml:space="preserve">herhaalt </w:t>
      </w: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t xml:space="preserve">zich</w:t>
      </w:r>
      <w:r w:rsidDel="00000000" w:rsidR="00000000" w:rsidRPr="00000000">
        <w:rPr>
          <w:rFonts w:ascii="Proxima Nova" w:cs="Proxima Nova" w:eastAsia="Proxima Nova" w:hAnsi="Proxima Nova"/>
          <w:sz w:val="22"/>
          <w:szCs w:val="22"/>
          <w:rtl w:val="0"/>
        </w:rPr>
        <w:t xml:space="preserve">.</w:t>
      </w:r>
      <w:r w:rsidDel="00000000" w:rsidR="00000000" w:rsidRPr="00000000">
        <w:rPr>
          <w:rtl w:val="0"/>
        </w:rPr>
      </w:r>
    </w:p>
    <w:sectPr>
      <w:headerReference r:id="rId6" w:type="default"/>
      <w:footerReference r:id="rId7" w:type="default"/>
      <w:pgSz w:h="11906" w:w="16838" w:orient="landscape"/>
      <w:pgMar w:bottom="1417.3228346456694" w:top="1417.3228346456694" w:left="1984.2519685039372"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Courier New"/>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Gill Sans">
    <w:embedRegular w:fontKey="{00000000-0000-0000-0000-000000000000}" r:id="rId11" w:subsetted="0"/>
    <w:embedBold w:fontKey="{00000000-0000-0000-0000-000000000000}" r:id="rId12" w:subsetted="0"/>
  </w:font>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40" w:before="0" w:line="240" w:lineRule="auto"/>
      <w:ind w:left="-1276" w:right="-852" w:firstLine="0"/>
      <w:jc w:val="right"/>
      <w:rPr>
        <w:rFonts w:ascii="Gill Sans" w:cs="Gill Sans" w:eastAsia="Gill Sans" w:hAnsi="Gill Sans"/>
        <w:b w:val="0"/>
        <w:i w:val="0"/>
        <w:smallCaps w:val="0"/>
        <w:strike w:val="0"/>
        <w:color w:val="000000"/>
        <w:sz w:val="40"/>
        <w:szCs w:val="40"/>
        <w:u w:val="none"/>
        <w:shd w:fill="auto" w:val="clear"/>
        <w:vertAlign w:val="baseline"/>
      </w:rPr>
    </w:pPr>
    <w:r w:rsidDel="00000000" w:rsidR="00000000" w:rsidRPr="00000000">
      <w:rPr>
        <w:rFonts w:ascii="Gill Sans" w:cs="Gill Sans" w:eastAsia="Gill Sans" w:hAnsi="Gill Sans"/>
        <w:b w:val="0"/>
        <w:i w:val="0"/>
        <w:smallCaps w:val="0"/>
        <w:strike w:val="0"/>
        <w:color w:val="000000"/>
        <w:sz w:val="40"/>
        <w:szCs w:val="40"/>
        <w:u w:val="none"/>
        <w:shd w:fill="auto" w:val="clear"/>
        <w:vertAlign w:val="baseline"/>
      </w:rPr>
      <w:drawing>
        <wp:inline distB="114300" distT="114300" distL="114300" distR="114300">
          <wp:extent cx="635643" cy="63564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35643" cy="63564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3" w:hanging="360"/>
      </w:pPr>
      <w:rPr>
        <w:rFonts w:ascii="Noto Sans Symbols" w:cs="Noto Sans Symbols" w:eastAsia="Noto Sans Symbols" w:hAnsi="Noto Sans Symbols"/>
      </w:rPr>
    </w:lvl>
    <w:lvl w:ilvl="2">
      <w:start w:val="1"/>
      <w:numFmt w:val="bullet"/>
      <w:lvlText w:val="▪"/>
      <w:lvlJc w:val="left"/>
      <w:pPr>
        <w:ind w:left="1083" w:hanging="360"/>
      </w:pPr>
      <w:rPr>
        <w:rFonts w:ascii="Noto Sans Symbols" w:cs="Noto Sans Symbols" w:eastAsia="Noto Sans Symbols" w:hAnsi="Noto Sans Symbols"/>
      </w:rPr>
    </w:lvl>
    <w:lvl w:ilvl="3">
      <w:start w:val="1"/>
      <w:numFmt w:val="bullet"/>
      <w:lvlText w:val="●"/>
      <w:lvlJc w:val="left"/>
      <w:pPr>
        <w:ind w:left="1803" w:hanging="360"/>
      </w:pPr>
      <w:rPr>
        <w:rFonts w:ascii="Noto Sans Symbols" w:cs="Noto Sans Symbols" w:eastAsia="Noto Sans Symbols" w:hAnsi="Noto Sans Symbols"/>
      </w:rPr>
    </w:lvl>
    <w:lvl w:ilvl="4">
      <w:start w:val="1"/>
      <w:numFmt w:val="bullet"/>
      <w:lvlText w:val="o"/>
      <w:lvlJc w:val="left"/>
      <w:pPr>
        <w:ind w:left="2523" w:hanging="360"/>
      </w:pPr>
      <w:rPr>
        <w:rFonts w:ascii="Courier New" w:cs="Courier New" w:eastAsia="Courier New" w:hAnsi="Courier New"/>
      </w:rPr>
    </w:lvl>
    <w:lvl w:ilvl="5">
      <w:start w:val="1"/>
      <w:numFmt w:val="bullet"/>
      <w:lvlText w:val="▪"/>
      <w:lvlJc w:val="left"/>
      <w:pPr>
        <w:ind w:left="3243" w:hanging="360"/>
      </w:pPr>
      <w:rPr>
        <w:rFonts w:ascii="Noto Sans Symbols" w:cs="Noto Sans Symbols" w:eastAsia="Noto Sans Symbols" w:hAnsi="Noto Sans Symbols"/>
      </w:rPr>
    </w:lvl>
    <w:lvl w:ilvl="6">
      <w:start w:val="1"/>
      <w:numFmt w:val="bullet"/>
      <w:lvlText w:val="●"/>
      <w:lvlJc w:val="left"/>
      <w:pPr>
        <w:ind w:left="3963" w:hanging="360"/>
      </w:pPr>
      <w:rPr>
        <w:rFonts w:ascii="Noto Sans Symbols" w:cs="Noto Sans Symbols" w:eastAsia="Noto Sans Symbols" w:hAnsi="Noto Sans Symbols"/>
      </w:rPr>
    </w:lvl>
    <w:lvl w:ilvl="7">
      <w:start w:val="1"/>
      <w:numFmt w:val="bullet"/>
      <w:lvlText w:val="o"/>
      <w:lvlJc w:val="left"/>
      <w:pPr>
        <w:ind w:left="4683" w:hanging="360"/>
      </w:pPr>
      <w:rPr>
        <w:rFonts w:ascii="Courier New" w:cs="Courier New" w:eastAsia="Courier New" w:hAnsi="Courier New"/>
      </w:rPr>
    </w:lvl>
    <w:lvl w:ilvl="8">
      <w:start w:val="1"/>
      <w:numFmt w:val="bullet"/>
      <w:lvlText w:val="▪"/>
      <w:lvlJc w:val="left"/>
      <w:pPr>
        <w:ind w:left="5403" w:hanging="360"/>
      </w:pPr>
      <w:rPr>
        <w:rFonts w:ascii="Noto Sans Symbols" w:cs="Noto Sans Symbols" w:eastAsia="Noto Sans Symbols" w:hAnsi="Noto Sans Symbols"/>
      </w:rPr>
    </w:lvl>
  </w:abstractNum>
  <w:abstractNum w:abstractNumId="2">
    <w:lvl w:ilvl="0">
      <w:start w:val="1"/>
      <w:numFmt w:val="bullet"/>
      <w:lvlText w:val="●"/>
      <w:lvlJc w:val="left"/>
      <w:pPr>
        <w:ind w:left="357" w:firstLine="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o"/>
      <w:lvlJc w:val="left"/>
      <w:pPr>
        <w:ind w:left="717" w:hanging="360"/>
      </w:pPr>
      <w:rPr>
        <w:rFonts w:ascii="Courier New" w:cs="Courier New" w:eastAsia="Courier New" w:hAnsi="Courier New"/>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w:cs="Noto Sans" w:eastAsia="Noto Sans" w:hAnsi="Noto Sans"/>
      </w:rPr>
    </w:lvl>
    <w:lvl w:ilvl="3">
      <w:start w:val="1"/>
      <w:numFmt w:val="bullet"/>
      <w:lvlText w:val="●"/>
      <w:lvlJc w:val="left"/>
      <w:pPr>
        <w:ind w:left="2877" w:hanging="360"/>
      </w:pPr>
      <w:rPr>
        <w:rFonts w:ascii="Noto Sans" w:cs="Noto Sans" w:eastAsia="Noto Sans" w:hAnsi="Noto San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w:cs="Noto Sans" w:eastAsia="Noto Sans" w:hAnsi="Noto Sans"/>
      </w:rPr>
    </w:lvl>
    <w:lvl w:ilvl="6">
      <w:start w:val="1"/>
      <w:numFmt w:val="bullet"/>
      <w:lvlText w:val="●"/>
      <w:lvlJc w:val="left"/>
      <w:pPr>
        <w:ind w:left="5037" w:hanging="360"/>
      </w:pPr>
      <w:rPr>
        <w:rFonts w:ascii="Noto Sans" w:cs="Noto Sans" w:eastAsia="Noto Sans" w:hAnsi="Noto San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mbria" w:cs="Cambria" w:eastAsia="Cambria" w:hAnsi="Cambria"/>
      <w:b w:val="1"/>
      <w:color w:val="000000"/>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000000"/>
      <w:sz w:val="26"/>
      <w:szCs w:val="26"/>
    </w:rPr>
  </w:style>
  <w:style w:type="paragraph" w:styleId="Heading3">
    <w:name w:val="heading 3"/>
    <w:basedOn w:val="Normal"/>
    <w:next w:val="Normal"/>
    <w:pPr>
      <w:keepNext w:val="1"/>
      <w:keepLines w:val="1"/>
      <w:widowControl w:val="0"/>
      <w:ind w:left="360" w:hanging="360"/>
    </w:pPr>
    <w:rPr>
      <w:rFonts w:ascii="Calibri" w:cs="Calibri" w:eastAsia="Calibri" w:hAnsi="Calibri"/>
      <w:b w:val="1"/>
      <w:sz w:val="24"/>
      <w:szCs w:val="24"/>
    </w:rPr>
  </w:style>
  <w:style w:type="paragraph" w:styleId="Heading4">
    <w:name w:val="heading 4"/>
    <w:basedOn w:val="Normal"/>
    <w:next w:val="Normal"/>
    <w:pPr>
      <w:widowControl w:val="0"/>
      <w:ind w:left="357" w:hanging="357"/>
    </w:pPr>
    <w:rPr>
      <w:rFonts w:ascii="Calibri" w:cs="Calibri" w:eastAsia="Calibri" w:hAnsi="Calibri"/>
    </w:rPr>
  </w:style>
  <w:style w:type="paragraph" w:styleId="Heading5">
    <w:name w:val="heading 5"/>
    <w:basedOn w:val="Normal"/>
    <w:next w:val="Normal"/>
    <w:pPr>
      <w:ind w:left="717" w:hanging="360"/>
    </w:pPr>
    <w:rPr>
      <w:rFonts w:ascii="Calibri" w:cs="Calibri" w:eastAsia="Calibri" w:hAnsi="Calibri"/>
      <w:b w:val="1"/>
      <w:sz w:val="22"/>
      <w:szCs w:val="22"/>
    </w:rPr>
  </w:style>
  <w:style w:type="paragraph" w:styleId="Heading6">
    <w:name w:val="heading 6"/>
    <w:basedOn w:val="Normal"/>
    <w:next w:val="Normal"/>
    <w:pPr>
      <w:widowControl w:val="0"/>
      <w:ind w:left="717" w:hanging="360"/>
    </w:pPr>
    <w:rPr>
      <w:rFonts w:ascii="Calibri" w:cs="Calibri" w:eastAsia="Calibri" w:hAnsi="Calibri"/>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rPr>
      <w:rFonts w:ascii="Cambria" w:cs="Cambria" w:eastAsia="Cambria" w:hAnsi="Cambria"/>
      <w:sz w:val="22"/>
      <w:szCs w:val="22"/>
    </w:r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GillSans-regular.ttf"/><Relationship Id="rId10" Type="http://schemas.openxmlformats.org/officeDocument/2006/relationships/font" Target="fonts/NotoSansSymbols-bold.ttf"/><Relationship Id="rId13" Type="http://schemas.openxmlformats.org/officeDocument/2006/relationships/font" Target="fonts/SourceSansPro-regular.ttf"/><Relationship Id="rId12" Type="http://schemas.openxmlformats.org/officeDocument/2006/relationships/font" Target="fonts/GillSans-bold.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NotoSansSymbols-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